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CE8" w:rsidRDefault="006D609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713CE8" w:rsidRDefault="006D609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713CE8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713CE8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stopień</w:t>
            </w:r>
          </w:p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713CE8">
        <w:tc>
          <w:tcPr>
            <w:tcW w:w="4192" w:type="dxa"/>
            <w:gridSpan w:val="2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5500" w:type="dxa"/>
            <w:gridSpan w:val="3"/>
          </w:tcPr>
          <w:p w:rsidR="00713CE8" w:rsidRDefault="006D6094" w:rsidP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4</w:t>
            </w:r>
          </w:p>
        </w:tc>
      </w:tr>
      <w:tr w:rsidR="00713CE8">
        <w:tc>
          <w:tcPr>
            <w:tcW w:w="9692" w:type="dxa"/>
            <w:gridSpan w:val="5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Międzynarodowe Problemy Zdrowia</w:t>
            </w:r>
          </w:p>
        </w:tc>
      </w:tr>
      <w:tr w:rsidR="00713CE8">
        <w:tc>
          <w:tcPr>
            <w:tcW w:w="9692" w:type="dxa"/>
            <w:gridSpan w:val="5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</w:t>
            </w:r>
          </w:p>
        </w:tc>
      </w:tr>
      <w:tr w:rsidR="00713CE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713CE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Nabycie przez studentów wiedzy z zakresu rozwiązywania globalnych problemów zdrowotnych i funkcjonowania głównych podmiotów regulujących międzynarodowa politykę zdrowotną.</w:t>
            </w:r>
          </w:p>
          <w:p w:rsidR="00713CE8" w:rsidRDefault="00713C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</w:p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P_W01: Wykazuje się wiedzą dotyczącą znajomości zasad tworzenia i realizowania strategii zdrowia publicznego, polityki zdrowotnej i społecznej na poziomie lokalnym, krajowym i europejskim. Posiada pogłębioną znajom</w:t>
            </w:r>
            <w:r>
              <w:rPr>
                <w:color w:val="000000"/>
              </w:rPr>
              <w:t>ość reguł prawnych organizujących lokalną, krajową oraz międzynarodową politykę zdrowotną i społeczną. (K_W04);</w:t>
            </w:r>
          </w:p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</w:t>
            </w:r>
          </w:p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P_U01: Posiada umiejętności wykorzystania wiedzy teoretycznej, dostrzegania, obserwacji i interpretacji</w:t>
            </w:r>
            <w:r>
              <w:rPr>
                <w:color w:val="000000"/>
              </w:rPr>
              <w:t xml:space="preserve"> zjawisk w zakresie zdrowia populacji, pogłębione i wzbogacone o wyjaśnianie wzajemnych relacji między zdrowiem, a czynnikami społeczno-ekonomicznymi i środowiskowymi. (K_U02);</w:t>
            </w:r>
          </w:p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P_U02: Opisuje i dyskutuje główne strategie zdrowotne wybranych krajów europejs</w:t>
            </w:r>
            <w:r>
              <w:rPr>
                <w:color w:val="000000"/>
              </w:rPr>
              <w:t>kich oraz strategie zdrowia publicznego WHO (K_U8)</w:t>
            </w:r>
          </w:p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 jest gotów do:</w:t>
            </w:r>
          </w:p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P_K01: Przejawia zaangażowanie w promocję zdrowia publicznego i zainteresowanie problemami polityki społecznej i zdrowotnej (K_K02);</w:t>
            </w:r>
          </w:p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P_K02: Potrafi, w szerokim zakresie, formułować przejrzyste i szczegółowe wypowiedzi ustne i pisemne, a także wyjaśniać swoje stanowisko w sprawach będących przedmiotem dyskusji, rozważając zalety i wady różnych rozwiązań. (K_K06).</w:t>
            </w:r>
          </w:p>
        </w:tc>
      </w:tr>
      <w:tr w:rsidR="00713CE8">
        <w:tc>
          <w:tcPr>
            <w:tcW w:w="8688" w:type="dxa"/>
            <w:gridSpan w:val="4"/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</w:t>
            </w:r>
            <w:r>
              <w:rPr>
                <w:b/>
                <w:color w:val="000000"/>
              </w:rPr>
              <w:t>dmiotu</w:t>
            </w:r>
          </w:p>
        </w:tc>
        <w:tc>
          <w:tcPr>
            <w:tcW w:w="1004" w:type="dxa"/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84 (42</w:t>
            </w:r>
            <w:r>
              <w:rPr>
                <w:b/>
                <w:color w:val="000000"/>
              </w:rPr>
              <w:t>)</w:t>
            </w:r>
          </w:p>
        </w:tc>
      </w:tr>
      <w:tr w:rsidR="00713CE8">
        <w:tc>
          <w:tcPr>
            <w:tcW w:w="8688" w:type="dxa"/>
            <w:gridSpan w:val="4"/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3 </w:t>
            </w:r>
            <w:bookmarkStart w:id="0" w:name="_GoBack"/>
            <w:bookmarkEnd w:id="0"/>
            <w:r>
              <w:rPr>
                <w:b/>
                <w:color w:val="000000"/>
              </w:rPr>
              <w:t>(1,5)</w:t>
            </w:r>
          </w:p>
        </w:tc>
      </w:tr>
      <w:tr w:rsidR="00713CE8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713CE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713CE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kolokwium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000000"/>
            </w:tcBorders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  <w:r>
              <w:rPr>
                <w:color w:val="000000"/>
              </w:rPr>
              <w:t xml:space="preserve"> Student po zakończeniu kursu otrzymuje ocenę, która jest średnią z ocen stanowiących weryfikację każdego założonego efektu uczenia się. Oceny w ramach każdej formy weryfikacji dokonuje się zgodnie z poniższą skalą:</w:t>
            </w:r>
          </w:p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(2,0)  poniżej 60%; </w:t>
            </w: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(3,0) 60-67</w:t>
            </w:r>
            <w:r>
              <w:rPr>
                <w:color w:val="000000"/>
              </w:rPr>
              <w:t xml:space="preserve">%; </w:t>
            </w:r>
            <w:proofErr w:type="spellStart"/>
            <w:r>
              <w:rPr>
                <w:color w:val="000000"/>
              </w:rPr>
              <w:t>ddb</w:t>
            </w:r>
            <w:proofErr w:type="spellEnd"/>
            <w:r>
              <w:rPr>
                <w:color w:val="000000"/>
              </w:rPr>
              <w:t xml:space="preserve"> (3,5) 68-75%, </w:t>
            </w: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(4,0) 76-83%; </w:t>
            </w:r>
            <w:proofErr w:type="spellStart"/>
            <w:r>
              <w:rPr>
                <w:color w:val="000000"/>
              </w:rPr>
              <w:t>pdb</w:t>
            </w:r>
            <w:proofErr w:type="spellEnd"/>
            <w:r>
              <w:rPr>
                <w:color w:val="000000"/>
              </w:rPr>
              <w:t xml:space="preserve"> (4,5) 84-91%; </w:t>
            </w:r>
            <w:proofErr w:type="spellStart"/>
            <w:r>
              <w:rPr>
                <w:color w:val="000000"/>
              </w:rPr>
              <w:t>bdb</w:t>
            </w:r>
            <w:proofErr w:type="spellEnd"/>
          </w:p>
        </w:tc>
      </w:tr>
      <w:tr w:rsidR="00713CE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Dyskusja, wypowiedź pisemna</w:t>
            </w:r>
          </w:p>
        </w:tc>
        <w:tc>
          <w:tcPr>
            <w:tcW w:w="2921" w:type="dxa"/>
            <w:gridSpan w:val="2"/>
            <w:vMerge/>
            <w:tcBorders>
              <w:top w:val="single" w:sz="4" w:space="0" w:color="000000"/>
            </w:tcBorders>
            <w:vAlign w:val="center"/>
          </w:tcPr>
          <w:p w:rsidR="00713CE8" w:rsidRDefault="00713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713CE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13CE8" w:rsidRDefault="006D6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Dyskusja, kolokwium</w:t>
            </w:r>
          </w:p>
        </w:tc>
        <w:tc>
          <w:tcPr>
            <w:tcW w:w="2921" w:type="dxa"/>
            <w:gridSpan w:val="2"/>
            <w:vMerge/>
            <w:tcBorders>
              <w:top w:val="single" w:sz="4" w:space="0" w:color="000000"/>
            </w:tcBorders>
            <w:vAlign w:val="center"/>
          </w:tcPr>
          <w:p w:rsidR="00713CE8" w:rsidRDefault="00713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</w:tbl>
    <w:p w:rsidR="00713CE8" w:rsidRDefault="00713CE8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713CE8" w:rsidRDefault="006D609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713CE8" w:rsidRDefault="006D609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713CE8" w:rsidRDefault="006D609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713CE8" w:rsidRDefault="006D609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713CE8" w:rsidRDefault="006D609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713CE8" w:rsidRDefault="006D609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713CE8" w:rsidRDefault="006D609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</w:t>
      </w:r>
      <w:r>
        <w:rPr>
          <w:b/>
          <w:color w:val="000000"/>
        </w:rPr>
        <w:t>zny (2,0)</w:t>
      </w:r>
      <w:r>
        <w:rPr>
          <w:color w:val="000000"/>
        </w:rPr>
        <w:t xml:space="preserve"> – zakładane efekty uczenia się nie zostały uzyskane.</w:t>
      </w:r>
    </w:p>
    <w:sectPr w:rsidR="00713CE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CE8"/>
    <w:rsid w:val="006D6094"/>
    <w:rsid w:val="0071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F2A39F-5D3C-44F4-A897-58391706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pKBM9/NRIB61I4aqGzJ9omWmBg==">AMUW2mXkZkelueEaHDs4P4MZ2o5UnOUstkHbh/Cf54aAMrISstpepvdIBQegp27v2SGNvLbHGf6Hv88UBXnFtMw68iPmRw1elbzpkbNvwWFqsjChDiRlyDA=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93B21729-419F-4EB8-94C2-8755246B6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CCF149-71AA-4772-913C-6C6B800003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8E52F4-95F4-40FE-9120-94CF9480ED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2021-03-31T07:36:00Z</dcterms:created>
  <dcterms:modified xsi:type="dcterms:W3CDTF">2022-03-31T18:06:00Z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